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F92C7">
      <w:pPr>
        <w:spacing w:before="104" w:line="224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1"/>
          <w:sz w:val="32"/>
          <w:szCs w:val="32"/>
        </w:rPr>
        <w:t>附件</w:t>
      </w:r>
    </w:p>
    <w:p w14:paraId="4C37EBFF">
      <w:pPr>
        <w:spacing w:line="318" w:lineRule="auto"/>
        <w:rPr>
          <w:rFonts w:ascii="Arial"/>
          <w:sz w:val="21"/>
        </w:rPr>
      </w:pPr>
    </w:p>
    <w:p w14:paraId="799F0539">
      <w:pPr>
        <w:spacing w:line="318" w:lineRule="auto"/>
        <w:rPr>
          <w:rFonts w:ascii="Arial"/>
          <w:sz w:val="21"/>
        </w:rPr>
      </w:pPr>
    </w:p>
    <w:p w14:paraId="596ACDEC">
      <w:pPr>
        <w:spacing w:before="130" w:line="269" w:lineRule="auto"/>
        <w:ind w:left="2770" w:right="828" w:hanging="2039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1"/>
          <w:sz w:val="40"/>
          <w:szCs w:val="40"/>
        </w:rPr>
        <w:t>2025年福建省教育科学规划教育考试招生</w:t>
      </w:r>
      <w:r>
        <w:rPr>
          <w:rFonts w:ascii="宋体" w:hAnsi="宋体" w:eastAsia="宋体" w:cs="宋体"/>
          <w:spacing w:val="12"/>
          <w:sz w:val="40"/>
          <w:szCs w:val="40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40"/>
          <w:szCs w:val="40"/>
        </w:rPr>
        <w:t>研究专项课题指南</w:t>
      </w:r>
    </w:p>
    <w:p w14:paraId="60AF6897">
      <w:pPr>
        <w:spacing w:line="291" w:lineRule="auto"/>
        <w:rPr>
          <w:rFonts w:ascii="Arial"/>
          <w:sz w:val="21"/>
        </w:rPr>
      </w:pPr>
    </w:p>
    <w:p w14:paraId="096E16D2">
      <w:pPr>
        <w:spacing w:line="291" w:lineRule="auto"/>
        <w:rPr>
          <w:rFonts w:ascii="Arial"/>
          <w:sz w:val="21"/>
        </w:rPr>
      </w:pPr>
    </w:p>
    <w:p w14:paraId="77019D26">
      <w:pPr>
        <w:pStyle w:val="2"/>
        <w:spacing w:before="104" w:line="220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1.</w:t>
      </w:r>
      <w:r>
        <w:rPr>
          <w:sz w:val="32"/>
          <w:szCs w:val="32"/>
        </w:rPr>
        <w:t>适应多元化人才选育的高考系统性改革策略研究</w:t>
      </w:r>
    </w:p>
    <w:p w14:paraId="56185FD1">
      <w:pPr>
        <w:pStyle w:val="2"/>
        <w:spacing w:before="209" w:line="221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pacing w:val="1"/>
          <w:sz w:val="32"/>
          <w:szCs w:val="32"/>
        </w:rPr>
        <w:t>2.</w:t>
      </w:r>
      <w:r>
        <w:rPr>
          <w:spacing w:val="1"/>
          <w:sz w:val="32"/>
          <w:szCs w:val="32"/>
        </w:rPr>
        <w:t>新高考下高校与中学人才选拔培养协同研究</w:t>
      </w:r>
    </w:p>
    <w:p w14:paraId="601CCA69">
      <w:pPr>
        <w:pStyle w:val="2"/>
        <w:spacing w:before="220" w:line="222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pacing w:val="-2"/>
          <w:sz w:val="32"/>
          <w:szCs w:val="32"/>
        </w:rPr>
        <w:t>3.</w:t>
      </w:r>
      <w:r>
        <w:rPr>
          <w:spacing w:val="-2"/>
          <w:sz w:val="32"/>
          <w:szCs w:val="32"/>
        </w:rPr>
        <w:t>拔尖创新人才选拔实践研究</w:t>
      </w:r>
    </w:p>
    <w:p w14:paraId="01777A98">
      <w:pPr>
        <w:pStyle w:val="2"/>
        <w:spacing w:before="235" w:line="222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pacing w:val="1"/>
          <w:sz w:val="32"/>
          <w:szCs w:val="32"/>
        </w:rPr>
        <w:t>4.</w:t>
      </w:r>
      <w:r>
        <w:rPr>
          <w:spacing w:val="1"/>
          <w:sz w:val="32"/>
          <w:szCs w:val="32"/>
        </w:rPr>
        <w:t>新时代教育评价改革实施方案的基层实践困境与突破</w:t>
      </w:r>
    </w:p>
    <w:p w14:paraId="496FBC35">
      <w:pPr>
        <w:pStyle w:val="2"/>
        <w:spacing w:before="195" w:line="222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pacing w:val="1"/>
          <w:sz w:val="32"/>
          <w:szCs w:val="32"/>
        </w:rPr>
        <w:t>5.</w:t>
      </w:r>
      <w:r>
        <w:rPr>
          <w:spacing w:val="1"/>
          <w:sz w:val="32"/>
          <w:szCs w:val="32"/>
        </w:rPr>
        <w:t>五育融合视域下高考评价体系的实践路径研究</w:t>
      </w:r>
    </w:p>
    <w:p w14:paraId="6D671A59">
      <w:pPr>
        <w:pStyle w:val="2"/>
        <w:spacing w:before="221" w:line="220" w:lineRule="auto"/>
        <w:ind w:left="615"/>
        <w:rPr>
          <w:sz w:val="32"/>
          <w:szCs w:val="32"/>
        </w:rPr>
      </w:pPr>
      <w:r>
        <w:rPr>
          <w:sz w:val="32"/>
          <w:szCs w:val="32"/>
        </w:rPr>
        <w:t>6.“双减”政策背景下考试评价体系的适应性改革路径</w:t>
      </w:r>
    </w:p>
    <w:p w14:paraId="0074C044">
      <w:pPr>
        <w:pStyle w:val="2"/>
        <w:spacing w:before="229" w:line="221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</w:rPr>
        <w:t>7.</w:t>
      </w:r>
      <w:r>
        <w:rPr>
          <w:spacing w:val="-1"/>
          <w:sz w:val="32"/>
          <w:szCs w:val="32"/>
        </w:rPr>
        <w:t>核心素养导向的考试内容与形式创新</w:t>
      </w:r>
    </w:p>
    <w:p w14:paraId="6F93F1A8">
      <w:pPr>
        <w:pStyle w:val="2"/>
        <w:spacing w:before="217" w:line="221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8.</w:t>
      </w:r>
      <w:r>
        <w:rPr>
          <w:sz w:val="32"/>
          <w:szCs w:val="32"/>
        </w:rPr>
        <w:t>核心素养导向的学业质量标准与测评体系构建</w:t>
      </w:r>
    </w:p>
    <w:p w14:paraId="6DB6E497">
      <w:pPr>
        <w:pStyle w:val="2"/>
        <w:spacing w:before="200" w:line="222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9.</w:t>
      </w:r>
      <w:r>
        <w:rPr>
          <w:sz w:val="32"/>
          <w:szCs w:val="32"/>
        </w:rPr>
        <w:t>高考改革与中考改革协同研究</w:t>
      </w:r>
    </w:p>
    <w:p w14:paraId="209C41CC">
      <w:pPr>
        <w:pStyle w:val="2"/>
        <w:spacing w:before="235" w:line="222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</w:rPr>
        <w:t>10.</w:t>
      </w:r>
      <w:r>
        <w:rPr>
          <w:spacing w:val="-1"/>
          <w:sz w:val="32"/>
          <w:szCs w:val="32"/>
        </w:rPr>
        <w:t>高中学业水平考试改革与创新</w:t>
      </w:r>
    </w:p>
    <w:p w14:paraId="50739DF8">
      <w:pPr>
        <w:pStyle w:val="2"/>
        <w:spacing w:before="206" w:line="222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11.</w:t>
      </w:r>
      <w:r>
        <w:rPr>
          <w:sz w:val="32"/>
          <w:szCs w:val="32"/>
        </w:rPr>
        <w:t>高中学业水平考试组织与实施优化研究</w:t>
      </w:r>
    </w:p>
    <w:p w14:paraId="3A5D567E">
      <w:pPr>
        <w:pStyle w:val="2"/>
        <w:spacing w:before="217" w:line="219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12.</w:t>
      </w:r>
      <w:r>
        <w:rPr>
          <w:sz w:val="32"/>
          <w:szCs w:val="32"/>
        </w:rPr>
        <w:t>新高考信息系统建设与数字化转型</w:t>
      </w:r>
    </w:p>
    <w:p w14:paraId="359AA58E">
      <w:pPr>
        <w:pStyle w:val="2"/>
        <w:spacing w:before="218" w:line="222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pacing w:val="-2"/>
          <w:sz w:val="32"/>
          <w:szCs w:val="32"/>
        </w:rPr>
        <w:t>13.</w:t>
      </w:r>
      <w:r>
        <w:rPr>
          <w:spacing w:val="-2"/>
          <w:sz w:val="32"/>
          <w:szCs w:val="32"/>
        </w:rPr>
        <w:t>教育考试数据治理研究</w:t>
      </w:r>
    </w:p>
    <w:p w14:paraId="38700893">
      <w:pPr>
        <w:pStyle w:val="2"/>
        <w:spacing w:before="226" w:line="222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14.</w:t>
      </w:r>
      <w:r>
        <w:rPr>
          <w:sz w:val="32"/>
          <w:szCs w:val="32"/>
        </w:rPr>
        <w:t>考试结果评价大模型的构建研究</w:t>
      </w:r>
    </w:p>
    <w:p w14:paraId="683EDFFD">
      <w:pPr>
        <w:pStyle w:val="2"/>
        <w:spacing w:before="222" w:line="222" w:lineRule="auto"/>
        <w:ind w:left="615"/>
        <w:rPr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</w:rPr>
        <w:t>15.</w:t>
      </w:r>
      <w:r>
        <w:rPr>
          <w:spacing w:val="-1"/>
          <w:sz w:val="32"/>
          <w:szCs w:val="32"/>
        </w:rPr>
        <w:t>学科融合趋势下的跨学科能力测评工具开发</w:t>
      </w:r>
    </w:p>
    <w:p w14:paraId="08849630">
      <w:pPr>
        <w:pStyle w:val="2"/>
        <w:spacing w:before="203" w:line="219" w:lineRule="auto"/>
        <w:ind w:left="615"/>
        <w:rPr>
          <w:sz w:val="32"/>
          <w:szCs w:val="32"/>
        </w:rPr>
      </w:pPr>
      <w:r>
        <w:rPr>
          <w:rFonts w:ascii="Times New Roman" w:hAnsi="Times New Roman" w:eastAsia="Times New Roman" w:cs="Times New Roman"/>
          <w:spacing w:val="-1"/>
          <w:sz w:val="32"/>
          <w:szCs w:val="32"/>
        </w:rPr>
        <w:t xml:space="preserve">16.AI  </w:t>
      </w:r>
      <w:r>
        <w:rPr>
          <w:spacing w:val="-1"/>
          <w:sz w:val="32"/>
          <w:szCs w:val="32"/>
        </w:rPr>
        <w:t>技术在考试命题中的应用研究</w:t>
      </w:r>
    </w:p>
    <w:p w14:paraId="49BBD513">
      <w:pPr>
        <w:spacing w:line="219" w:lineRule="auto"/>
        <w:rPr>
          <w:sz w:val="32"/>
          <w:szCs w:val="32"/>
        </w:rPr>
        <w:sectPr>
          <w:headerReference r:id="rId5" w:type="default"/>
          <w:footerReference r:id="rId6" w:type="default"/>
          <w:pgSz w:w="11850" w:h="16840"/>
          <w:pgMar w:top="419" w:right="1398" w:bottom="1200" w:left="1574" w:header="260" w:footer="837" w:gutter="0"/>
          <w:cols w:space="720" w:num="1"/>
        </w:sectPr>
      </w:pPr>
    </w:p>
    <w:p w14:paraId="4CD19F3B">
      <w:pPr>
        <w:spacing w:line="252" w:lineRule="auto"/>
        <w:rPr>
          <w:rFonts w:ascii="Arial"/>
          <w:sz w:val="21"/>
        </w:rPr>
      </w:pPr>
    </w:p>
    <w:p w14:paraId="4CE61C1A">
      <w:pPr>
        <w:spacing w:line="252" w:lineRule="auto"/>
        <w:rPr>
          <w:rFonts w:ascii="Arial"/>
          <w:sz w:val="21"/>
        </w:rPr>
      </w:pPr>
    </w:p>
    <w:p w14:paraId="7694734B">
      <w:pPr>
        <w:spacing w:line="252" w:lineRule="auto"/>
        <w:rPr>
          <w:rFonts w:ascii="Arial"/>
          <w:sz w:val="21"/>
        </w:rPr>
      </w:pPr>
    </w:p>
    <w:p w14:paraId="5576EF31">
      <w:pPr>
        <w:spacing w:line="252" w:lineRule="auto"/>
        <w:rPr>
          <w:rFonts w:ascii="Arial"/>
          <w:sz w:val="21"/>
        </w:rPr>
      </w:pPr>
    </w:p>
    <w:p w14:paraId="4B512F5B">
      <w:pPr>
        <w:spacing w:line="252" w:lineRule="auto"/>
        <w:rPr>
          <w:rFonts w:ascii="Arial"/>
          <w:sz w:val="21"/>
        </w:rPr>
      </w:pPr>
    </w:p>
    <w:p w14:paraId="754D482D">
      <w:pPr>
        <w:spacing w:line="253" w:lineRule="auto"/>
        <w:rPr>
          <w:rFonts w:ascii="Arial"/>
          <w:sz w:val="21"/>
        </w:rPr>
      </w:pPr>
    </w:p>
    <w:p w14:paraId="29D14746">
      <w:pPr>
        <w:spacing w:line="253" w:lineRule="auto"/>
        <w:rPr>
          <w:rFonts w:ascii="Arial"/>
          <w:sz w:val="21"/>
        </w:rPr>
      </w:pPr>
    </w:p>
    <w:p w14:paraId="121E31BB">
      <w:pPr>
        <w:pStyle w:val="2"/>
        <w:spacing w:before="101" w:line="222" w:lineRule="auto"/>
        <w:ind w:left="442"/>
      </w:pPr>
      <w:r>
        <w:rPr>
          <w:rFonts w:ascii="宋体" w:hAnsi="宋体" w:eastAsia="宋体" w:cs="宋体"/>
          <w:spacing w:val="9"/>
        </w:rPr>
        <w:t>17.</w:t>
      </w:r>
      <w:r>
        <w:rPr>
          <w:rFonts w:ascii="宋体" w:hAnsi="宋体" w:eastAsia="宋体" w:cs="宋体"/>
        </w:rPr>
        <w:t>AI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spacing w:val="9"/>
        </w:rPr>
        <w:t>技术赋能职教高考职业技能评价研究</w:t>
      </w:r>
    </w:p>
    <w:p w14:paraId="64F228FE">
      <w:pPr>
        <w:pStyle w:val="2"/>
        <w:spacing w:before="214" w:line="219" w:lineRule="auto"/>
        <w:ind w:left="442"/>
      </w:pPr>
      <w:r>
        <w:rPr>
          <w:rFonts w:ascii="Times New Roman" w:hAnsi="Times New Roman" w:eastAsia="Times New Roman" w:cs="Times New Roman"/>
          <w:spacing w:val="9"/>
        </w:rPr>
        <w:t>18.</w:t>
      </w:r>
      <w:r>
        <w:rPr>
          <w:rFonts w:ascii="Times New Roman" w:hAnsi="Times New Roman" w:eastAsia="Times New Roman" w:cs="Times New Roman"/>
        </w:rPr>
        <w:t>AI</w:t>
      </w:r>
      <w:r>
        <w:rPr>
          <w:rFonts w:ascii="Times New Roman" w:hAnsi="Times New Roman" w:eastAsia="Times New Roman" w:cs="Times New Roman"/>
          <w:spacing w:val="9"/>
        </w:rPr>
        <w:t xml:space="preserve">  </w:t>
      </w:r>
      <w:r>
        <w:rPr>
          <w:spacing w:val="9"/>
        </w:rPr>
        <w:t>技术在评卷及招生中的应用研究</w:t>
      </w:r>
    </w:p>
    <w:p w14:paraId="6B9A3DA9">
      <w:pPr>
        <w:pStyle w:val="2"/>
        <w:spacing w:before="242" w:line="219" w:lineRule="auto"/>
        <w:ind w:left="442"/>
      </w:pPr>
      <w:r>
        <w:rPr>
          <w:rFonts w:ascii="Times New Roman" w:hAnsi="Times New Roman" w:eastAsia="Times New Roman" w:cs="Times New Roman"/>
          <w:spacing w:val="10"/>
        </w:rPr>
        <w:t>19.</w:t>
      </w:r>
      <w:r>
        <w:rPr>
          <w:rFonts w:ascii="Times New Roman" w:hAnsi="Times New Roman" w:eastAsia="Times New Roman" w:cs="Times New Roman"/>
        </w:rPr>
        <w:t>AI</w:t>
      </w:r>
      <w:r>
        <w:rPr>
          <w:rFonts w:ascii="Times New Roman" w:hAnsi="Times New Roman" w:eastAsia="Times New Roman" w:cs="Times New Roman"/>
          <w:spacing w:val="10"/>
        </w:rPr>
        <w:t xml:space="preserve">  </w:t>
      </w:r>
      <w:r>
        <w:rPr>
          <w:spacing w:val="10"/>
        </w:rPr>
        <w:t>技术在考试招生咨询服务中的应用研究</w:t>
      </w:r>
    </w:p>
    <w:p w14:paraId="3888953A">
      <w:pPr>
        <w:pStyle w:val="2"/>
        <w:spacing w:before="224" w:line="222" w:lineRule="auto"/>
        <w:ind w:left="442"/>
      </w:pPr>
      <w:r>
        <w:rPr>
          <w:rFonts w:ascii="宋体" w:hAnsi="宋体" w:eastAsia="宋体" w:cs="宋体"/>
          <w:spacing w:val="11"/>
        </w:rPr>
        <w:t>20.</w:t>
      </w:r>
      <w:r>
        <w:rPr>
          <w:spacing w:val="11"/>
        </w:rPr>
        <w:t>教育考试招生机构全面从严治党长效机制构建研究</w:t>
      </w:r>
    </w:p>
    <w:p w14:paraId="5BD9A8CC">
      <w:pPr>
        <w:pStyle w:val="2"/>
        <w:spacing w:before="229" w:line="222" w:lineRule="auto"/>
        <w:ind w:left="442"/>
      </w:pPr>
      <w:r>
        <w:rPr>
          <w:rFonts w:ascii="宋体" w:hAnsi="宋体" w:eastAsia="宋体" w:cs="宋体"/>
          <w:spacing w:val="10"/>
        </w:rPr>
        <w:t>21.</w:t>
      </w:r>
      <w:r>
        <w:rPr>
          <w:spacing w:val="10"/>
        </w:rPr>
        <w:t>教育考试招生治理现代化研究</w:t>
      </w:r>
    </w:p>
    <w:p w14:paraId="5DB7F912">
      <w:pPr>
        <w:pStyle w:val="2"/>
        <w:spacing w:before="235" w:line="222" w:lineRule="auto"/>
        <w:ind w:left="442"/>
      </w:pPr>
      <w:r>
        <w:rPr>
          <w:rFonts w:ascii="宋体" w:hAnsi="宋体" w:eastAsia="宋体" w:cs="宋体"/>
          <w:spacing w:val="10"/>
        </w:rPr>
        <w:t>22.</w:t>
      </w:r>
      <w:r>
        <w:rPr>
          <w:spacing w:val="10"/>
        </w:rPr>
        <w:t>教育考试招生服务效能提升与优化研究</w:t>
      </w:r>
    </w:p>
    <w:p w14:paraId="254A9064">
      <w:pPr>
        <w:pStyle w:val="2"/>
        <w:spacing w:before="220" w:line="222" w:lineRule="auto"/>
        <w:ind w:left="442"/>
      </w:pPr>
      <w:r>
        <w:rPr>
          <w:rFonts w:ascii="宋体" w:hAnsi="宋体" w:eastAsia="宋体" w:cs="宋体"/>
          <w:spacing w:val="10"/>
        </w:rPr>
        <w:t>23.</w:t>
      </w:r>
      <w:r>
        <w:rPr>
          <w:spacing w:val="10"/>
        </w:rPr>
        <w:t>考试题库建设理论与实践研究</w:t>
      </w:r>
    </w:p>
    <w:p w14:paraId="309F74D2">
      <w:pPr>
        <w:pStyle w:val="2"/>
        <w:spacing w:before="235" w:line="222" w:lineRule="auto"/>
        <w:ind w:left="442"/>
      </w:pPr>
      <w:r>
        <w:rPr>
          <w:rFonts w:ascii="宋体" w:hAnsi="宋体" w:eastAsia="宋体" w:cs="宋体"/>
          <w:spacing w:val="11"/>
        </w:rPr>
        <w:t>24.</w:t>
      </w:r>
      <w:r>
        <w:rPr>
          <w:spacing w:val="11"/>
        </w:rPr>
        <w:t>高校专业设置、选科要求与学生选考科目匹配研究</w:t>
      </w:r>
    </w:p>
    <w:p w14:paraId="62265E14">
      <w:pPr>
        <w:pStyle w:val="2"/>
        <w:spacing w:before="227" w:line="222" w:lineRule="auto"/>
        <w:ind w:left="442"/>
      </w:pPr>
      <w:r>
        <w:rPr>
          <w:rFonts w:ascii="宋体" w:hAnsi="宋体" w:eastAsia="宋体" w:cs="宋体"/>
          <w:spacing w:val="10"/>
        </w:rPr>
        <w:t>25.</w:t>
      </w:r>
      <w:r>
        <w:rPr>
          <w:spacing w:val="10"/>
        </w:rPr>
        <w:t>高校招生来源计划编制优化的创新研究</w:t>
      </w:r>
    </w:p>
    <w:p w14:paraId="36342A4B">
      <w:pPr>
        <w:pStyle w:val="2"/>
        <w:spacing w:before="217" w:line="222" w:lineRule="auto"/>
        <w:ind w:left="442"/>
      </w:pPr>
      <w:r>
        <w:rPr>
          <w:rFonts w:ascii="宋体" w:hAnsi="宋体" w:eastAsia="宋体" w:cs="宋体"/>
          <w:spacing w:val="10"/>
        </w:rPr>
        <w:t>26.</w:t>
      </w:r>
      <w:r>
        <w:rPr>
          <w:spacing w:val="10"/>
        </w:rPr>
        <w:t>艺术体育等相关专业招生录取的创新实践</w:t>
      </w:r>
    </w:p>
    <w:p w14:paraId="1904E83F">
      <w:pPr>
        <w:pStyle w:val="2"/>
        <w:spacing w:before="240" w:line="222" w:lineRule="auto"/>
        <w:ind w:left="442"/>
      </w:pPr>
      <w:r>
        <w:rPr>
          <w:rFonts w:ascii="宋体" w:hAnsi="宋体" w:eastAsia="宋体" w:cs="宋体"/>
          <w:spacing w:val="-7"/>
        </w:rPr>
        <w:t>27.</w:t>
      </w:r>
      <w:r>
        <w:rPr>
          <w:spacing w:val="-7"/>
        </w:rPr>
        <w:t>教育强国建设背景下硕士研究生招生考</w:t>
      </w:r>
      <w:r>
        <w:rPr>
          <w:spacing w:val="-8"/>
        </w:rPr>
        <w:t>试改革策略研究</w:t>
      </w:r>
    </w:p>
    <w:p w14:paraId="14C2127E">
      <w:pPr>
        <w:pStyle w:val="2"/>
        <w:spacing w:before="224" w:line="221" w:lineRule="auto"/>
        <w:ind w:left="442"/>
      </w:pPr>
      <w:r>
        <w:rPr>
          <w:rFonts w:ascii="宋体" w:hAnsi="宋体" w:eastAsia="宋体" w:cs="宋体"/>
          <w:spacing w:val="10"/>
        </w:rPr>
        <w:t>28.</w:t>
      </w:r>
      <w:r>
        <w:rPr>
          <w:spacing w:val="10"/>
        </w:rPr>
        <w:t>硕士研究生考试自命题科目管理规范研究</w:t>
      </w:r>
    </w:p>
    <w:p w14:paraId="08DEFBBA">
      <w:pPr>
        <w:pStyle w:val="2"/>
        <w:spacing w:before="232" w:line="222" w:lineRule="auto"/>
        <w:ind w:left="442"/>
      </w:pPr>
      <w:r>
        <w:rPr>
          <w:rFonts w:ascii="宋体" w:hAnsi="宋体" w:eastAsia="宋体" w:cs="宋体"/>
          <w:spacing w:val="10"/>
        </w:rPr>
        <w:t>29.</w:t>
      </w:r>
      <w:r>
        <w:rPr>
          <w:spacing w:val="10"/>
        </w:rPr>
        <w:t>教师资格考试的实施与改革研究</w:t>
      </w:r>
    </w:p>
    <w:p w14:paraId="35AF9969">
      <w:pPr>
        <w:pStyle w:val="2"/>
        <w:spacing w:before="237" w:line="222" w:lineRule="auto"/>
        <w:ind w:left="442"/>
      </w:pPr>
      <w:r>
        <w:rPr>
          <w:rFonts w:ascii="宋体" w:hAnsi="宋体" w:eastAsia="宋体" w:cs="宋体"/>
          <w:spacing w:val="10"/>
        </w:rPr>
        <w:t>30.</w:t>
      </w:r>
      <w:r>
        <w:rPr>
          <w:spacing w:val="10"/>
        </w:rPr>
        <w:t>自学考试专业调整的路径与方法研究</w:t>
      </w:r>
    </w:p>
    <w:p w14:paraId="4FB06665">
      <w:pPr>
        <w:pStyle w:val="2"/>
        <w:spacing w:before="213" w:line="219" w:lineRule="auto"/>
        <w:ind w:left="442"/>
      </w:pPr>
      <w:r>
        <w:rPr>
          <w:rFonts w:ascii="宋体" w:hAnsi="宋体" w:eastAsia="宋体" w:cs="宋体"/>
          <w:spacing w:val="10"/>
        </w:rPr>
        <w:t>31.</w:t>
      </w:r>
      <w:r>
        <w:rPr>
          <w:spacing w:val="10"/>
        </w:rPr>
        <w:t>自适应测试技术在社会证书考试中的应用</w:t>
      </w:r>
    </w:p>
    <w:p w14:paraId="6D5E71EA">
      <w:pPr>
        <w:pStyle w:val="2"/>
        <w:spacing w:before="233" w:line="220" w:lineRule="auto"/>
        <w:ind w:left="442"/>
      </w:pPr>
      <w:r>
        <w:rPr>
          <w:rFonts w:ascii="宋体" w:hAnsi="宋体" w:eastAsia="宋体" w:cs="宋体"/>
          <w:spacing w:val="8"/>
        </w:rPr>
        <w:t>32.</w:t>
      </w:r>
      <w:r>
        <w:rPr>
          <w:spacing w:val="8"/>
        </w:rPr>
        <w:t>英语作文自动评分研究</w:t>
      </w:r>
    </w:p>
    <w:p w14:paraId="348031F5">
      <w:pPr>
        <w:pStyle w:val="2"/>
        <w:spacing w:before="241" w:line="221" w:lineRule="auto"/>
        <w:ind w:left="442"/>
      </w:pPr>
      <w:r>
        <w:rPr>
          <w:rFonts w:ascii="宋体" w:hAnsi="宋体" w:eastAsia="宋体" w:cs="宋体"/>
          <w:spacing w:val="10"/>
        </w:rPr>
        <w:t>33.</w:t>
      </w:r>
      <w:r>
        <w:rPr>
          <w:spacing w:val="10"/>
        </w:rPr>
        <w:t>省级考试机构命题基地建设优化研究</w:t>
      </w:r>
    </w:p>
    <w:p w14:paraId="30190131">
      <w:pPr>
        <w:pStyle w:val="2"/>
        <w:spacing w:before="240" w:line="222" w:lineRule="auto"/>
        <w:ind w:left="442"/>
      </w:pPr>
      <w:r>
        <w:rPr>
          <w:rFonts w:ascii="宋体" w:hAnsi="宋体" w:eastAsia="宋体" w:cs="宋体"/>
          <w:spacing w:val="9"/>
        </w:rPr>
        <w:t>34.</w:t>
      </w:r>
      <w:r>
        <w:rPr>
          <w:spacing w:val="9"/>
        </w:rPr>
        <w:t>高考考务管理集成优化研究</w:t>
      </w:r>
    </w:p>
    <w:p w14:paraId="7B23178B">
      <w:pPr>
        <w:pStyle w:val="2"/>
        <w:spacing w:before="229" w:line="222" w:lineRule="auto"/>
        <w:ind w:left="442"/>
      </w:pPr>
      <w:r>
        <w:rPr>
          <w:rFonts w:ascii="宋体" w:hAnsi="宋体" w:eastAsia="宋体" w:cs="宋体"/>
          <w:spacing w:val="10"/>
        </w:rPr>
        <w:t>35.</w:t>
      </w:r>
      <w:r>
        <w:rPr>
          <w:spacing w:val="10"/>
        </w:rPr>
        <w:t>适应人口变化趋势的考务管理体系建设</w:t>
      </w:r>
    </w:p>
    <w:p w14:paraId="6550BE1D">
      <w:pPr>
        <w:pStyle w:val="2"/>
        <w:spacing w:before="227" w:line="222" w:lineRule="auto"/>
        <w:ind w:left="442"/>
      </w:pPr>
      <w:r>
        <w:rPr>
          <w:rFonts w:ascii="宋体" w:hAnsi="宋体" w:eastAsia="宋体" w:cs="宋体"/>
          <w:spacing w:val="8"/>
        </w:rPr>
        <w:t>36.</w:t>
      </w:r>
      <w:r>
        <w:rPr>
          <w:spacing w:val="8"/>
        </w:rPr>
        <w:t>考试应急管理体系研究</w:t>
      </w:r>
    </w:p>
    <w:p w14:paraId="6F66A7A5">
      <w:pPr>
        <w:pStyle w:val="2"/>
        <w:spacing w:before="238" w:line="222" w:lineRule="auto"/>
        <w:ind w:left="442"/>
      </w:pPr>
      <w:r>
        <w:rPr>
          <w:rFonts w:ascii="宋体" w:hAnsi="宋体" w:eastAsia="宋体" w:cs="宋体"/>
          <w:spacing w:val="9"/>
        </w:rPr>
        <w:t>37.</w:t>
      </w:r>
      <w:r>
        <w:rPr>
          <w:spacing w:val="9"/>
        </w:rPr>
        <w:t>考试执法监督与规范管理生态研究</w:t>
      </w:r>
    </w:p>
    <w:p w14:paraId="7970DD89">
      <w:pPr>
        <w:spacing w:line="222" w:lineRule="auto"/>
        <w:sectPr>
          <w:headerReference r:id="rId7" w:type="default"/>
          <w:footerReference r:id="rId8" w:type="default"/>
          <w:pgSz w:w="11850" w:h="16840"/>
          <w:pgMar w:top="400" w:right="1349" w:bottom="1172" w:left="1777" w:header="0" w:footer="874" w:gutter="0"/>
          <w:cols w:space="720" w:num="1"/>
        </w:sectPr>
      </w:pPr>
    </w:p>
    <w:p w14:paraId="6EA1E662">
      <w:pPr>
        <w:spacing w:line="261" w:lineRule="auto"/>
        <w:rPr>
          <w:rFonts w:ascii="Arial"/>
          <w:sz w:val="21"/>
        </w:rPr>
      </w:pPr>
    </w:p>
    <w:p w14:paraId="4CD8E0C4">
      <w:pPr>
        <w:spacing w:line="261" w:lineRule="auto"/>
        <w:rPr>
          <w:rFonts w:ascii="Arial"/>
          <w:sz w:val="21"/>
        </w:rPr>
      </w:pPr>
    </w:p>
    <w:p w14:paraId="22420FF0">
      <w:pPr>
        <w:pStyle w:val="2"/>
        <w:spacing w:before="104" w:line="222" w:lineRule="auto"/>
        <w:ind w:left="630"/>
        <w:rPr>
          <w:sz w:val="32"/>
          <w:szCs w:val="32"/>
        </w:rPr>
      </w:pPr>
      <w:bookmarkStart w:id="0" w:name="_GoBack"/>
      <w:bookmarkEnd w:id="0"/>
      <w:r>
        <w:rPr>
          <w:rFonts w:ascii="宋体" w:hAnsi="宋体" w:eastAsia="宋体" w:cs="宋体"/>
          <w:spacing w:val="-1"/>
          <w:sz w:val="32"/>
          <w:szCs w:val="32"/>
        </w:rPr>
        <w:t>38.</w:t>
      </w:r>
      <w:r>
        <w:rPr>
          <w:spacing w:val="-1"/>
          <w:sz w:val="32"/>
          <w:szCs w:val="32"/>
        </w:rPr>
        <w:t>海外考试研究</w:t>
      </w:r>
    </w:p>
    <w:p w14:paraId="5DD834B6">
      <w:pPr>
        <w:pStyle w:val="2"/>
        <w:spacing w:before="222" w:line="222" w:lineRule="auto"/>
        <w:ind w:left="630"/>
        <w:rPr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39.</w:t>
      </w:r>
      <w:r>
        <w:rPr>
          <w:sz w:val="32"/>
          <w:szCs w:val="32"/>
        </w:rPr>
        <w:t>中外教育考试比较研究</w:t>
      </w:r>
    </w:p>
    <w:p w14:paraId="666AC5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915EB">
    <w:pPr>
      <w:spacing w:before="1" w:line="232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>—6—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BE108">
    <w:pPr>
      <w:spacing w:before="1" w:line="171" w:lineRule="auto"/>
      <w:jc w:val="right"/>
      <w:rPr>
        <w:rFonts w:ascii="Times New Roman" w:hAnsi="Times New Roman" w:eastAsia="Times New Roman" w:cs="Times New Roman"/>
        <w:sz w:val="31"/>
        <w:szCs w:val="31"/>
      </w:rPr>
    </w:pPr>
    <w:r>
      <w:rPr>
        <w:rFonts w:ascii="宋体" w:hAnsi="宋体" w:eastAsia="宋体" w:cs="宋体"/>
        <w:spacing w:val="-9"/>
        <w:w w:val="52"/>
        <w:sz w:val="31"/>
        <w:szCs w:val="31"/>
      </w:rPr>
      <w:t>—</w:t>
    </w:r>
    <w:r>
      <w:rPr>
        <w:rFonts w:ascii="宋体" w:hAnsi="宋体" w:eastAsia="宋体" w:cs="宋体"/>
        <w:spacing w:val="-47"/>
        <w:sz w:val="31"/>
        <w:szCs w:val="31"/>
      </w:rPr>
      <w:t xml:space="preserve"> </w:t>
    </w:r>
    <w:r>
      <w:rPr>
        <w:rFonts w:ascii="Times New Roman" w:hAnsi="Times New Roman" w:eastAsia="Times New Roman" w:cs="Times New Roman"/>
        <w:spacing w:val="-16"/>
        <w:w w:val="93"/>
        <w:sz w:val="31"/>
        <w:szCs w:val="31"/>
      </w:rPr>
      <w:t>7</w:t>
    </w:r>
    <w:r>
      <w:rPr>
        <w:rFonts w:ascii="Times New Roman" w:hAnsi="Times New Roman" w:eastAsia="Times New Roman" w:cs="Times New Roman"/>
        <w:spacing w:val="2"/>
        <w:w w:val="93"/>
        <w:sz w:val="31"/>
        <w:szCs w:val="31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E2964">
    <w:pPr>
      <w:spacing w:line="149" w:lineRule="exact"/>
      <w:rPr>
        <w:rFonts w:ascii="Arial"/>
        <w:sz w:val="13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3250565</wp:posOffset>
              </wp:positionH>
              <wp:positionV relativeFrom="page">
                <wp:posOffset>152400</wp:posOffset>
              </wp:positionV>
              <wp:extent cx="40005" cy="1270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0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55583D">
                          <w:pPr>
                            <w:spacing w:before="20" w:line="22" w:lineRule="exact"/>
                            <w:ind w:left="20"/>
                            <w:rPr>
                              <w:rFonts w:ascii="宋体" w:hAnsi="宋体" w:eastAsia="宋体" w:cs="宋体"/>
                              <w:sz w:val="4"/>
                              <w:szCs w:val="4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10"/>
                              <w:w w:val="136"/>
                              <w:position w:val="-1"/>
                              <w:sz w:val="4"/>
                              <w:szCs w:val="4"/>
                            </w:rPr>
                            <w:t>,</w:t>
                          </w:r>
                          <w:r>
                            <w:rPr>
                              <w:rFonts w:ascii="宋体" w:hAnsi="宋体" w:eastAsia="宋体" w:cs="宋体"/>
                              <w:spacing w:val="1"/>
                              <w:position w:val="-1"/>
                              <w:sz w:val="4"/>
                              <w:szCs w:val="4"/>
                            </w:rPr>
                            <w:t xml:space="preserve">    </w:t>
                          </w:r>
                          <w:r>
                            <w:rPr>
                              <w:rFonts w:ascii="宋体" w:hAnsi="宋体" w:eastAsia="宋体" w:cs="宋体"/>
                              <w:spacing w:val="10"/>
                              <w:w w:val="136"/>
                              <w:position w:val="-1"/>
                              <w:sz w:val="4"/>
                              <w:szCs w:val="4"/>
                            </w:rPr>
                            <w:t>t</w:t>
                          </w:r>
                        </w:p>
                      </w:txbxContent>
                    </wps:txbx>
                    <wps:bodyPr vert="eaVert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5.95pt;margin-top:12pt;height:10pt;width:3.15pt;mso-position-horizontal-relative:page;mso-position-vertical-relative:page;z-index:251659264;mso-width-relative:page;mso-height-relative:page;" filled="f" stroked="f" coordsize="21600,21600" o:allowincell="f" o:gfxdata="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FTWuaHWAAAACQEAAA8AAAAAAAAAAQAgAAAAIgAAAGRycy9kb3ducmV2LnhtbFBL&#10;AQIUABQAAAAIAIdO4kA9oHeWvwEAAH4DAAAOAAAAAAAAAAEAIAAAACU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 w14:paraId="0355583D">
                    <w:pPr>
                      <w:spacing w:before="20" w:line="22" w:lineRule="exact"/>
                      <w:ind w:left="20"/>
                      <w:rPr>
                        <w:rFonts w:ascii="宋体" w:hAnsi="宋体" w:eastAsia="宋体" w:cs="宋体"/>
                        <w:sz w:val="4"/>
                        <w:szCs w:val="4"/>
                      </w:rPr>
                    </w:pPr>
                    <w:r>
                      <w:rPr>
                        <w:rFonts w:ascii="宋体" w:hAnsi="宋体" w:eastAsia="宋体" w:cs="宋体"/>
                        <w:spacing w:val="10"/>
                        <w:w w:val="136"/>
                        <w:position w:val="-1"/>
                        <w:sz w:val="4"/>
                        <w:szCs w:val="4"/>
                      </w:rPr>
                      <w:t>,</w:t>
                    </w:r>
                    <w:r>
                      <w:rPr>
                        <w:rFonts w:ascii="宋体" w:hAnsi="宋体" w:eastAsia="宋体" w:cs="宋体"/>
                        <w:spacing w:val="1"/>
                        <w:position w:val="-1"/>
                        <w:sz w:val="4"/>
                        <w:szCs w:val="4"/>
                      </w:rPr>
                      <w:t xml:space="preserve">    </w:t>
                    </w:r>
                    <w:r>
                      <w:rPr>
                        <w:rFonts w:ascii="宋体" w:hAnsi="宋体" w:eastAsia="宋体" w:cs="宋体"/>
                        <w:spacing w:val="10"/>
                        <w:w w:val="136"/>
                        <w:position w:val="-1"/>
                        <w:sz w:val="4"/>
                        <w:szCs w:val="4"/>
                      </w:rPr>
                      <w:t>t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940B0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0ZmEyYmIxNjAyMzM5ZGY0ZDg0NzcxZjRmOGNlYzkifQ=="/>
  </w:docVars>
  <w:rsids>
    <w:rsidRoot w:val="7B690232"/>
    <w:rsid w:val="0F0D443D"/>
    <w:rsid w:val="7B69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2025-06-26T09:03:00Z</dcterms:created>
  <dc:creator>王旖旎</dc:creator>
  <cp:lastModifiedBy>王旖旎</cp:lastModifiedBy>
  <dcterms:modified xsi:type="dcterms:W3CDTF">2025-06-26T09:04:39Z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F3C2238CD7364193A4044F9FF020754B_11</vt:lpwstr>
  </property>
</Properties>
</file>